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907B2" w14:textId="36187AD5" w:rsidR="00DB7C98" w:rsidRDefault="008961D2" w:rsidP="00DB7C98">
      <w:pPr>
        <w:shd w:val="clear" w:color="auto" w:fill="FFFFFF"/>
        <w:spacing w:after="200" w:line="506" w:lineRule="atLeast"/>
        <w:jc w:val="center"/>
        <w:rPr>
          <w:b/>
          <w:bCs/>
          <w:color w:val="222222"/>
          <w:sz w:val="32"/>
          <w:szCs w:val="32"/>
        </w:rPr>
      </w:pPr>
      <w:r w:rsidRPr="00500771">
        <w:rPr>
          <w:rFonts w:cs="Times New Roman"/>
        </w:rPr>
        <w:drawing>
          <wp:inline distT="0" distB="0" distL="0" distR="0" wp14:anchorId="748C73B8" wp14:editId="4ABEFFFF">
            <wp:extent cx="1828800" cy="10179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017905"/>
                    </a:xfrm>
                    <a:prstGeom prst="rect">
                      <a:avLst/>
                    </a:prstGeom>
                    <a:noFill/>
                    <a:ln>
                      <a:noFill/>
                    </a:ln>
                  </pic:spPr>
                </pic:pic>
              </a:graphicData>
            </a:graphic>
          </wp:inline>
        </w:drawing>
      </w:r>
      <w:r w:rsidR="00DB7C98" w:rsidRPr="00DB7C98">
        <w:rPr>
          <w:b/>
          <w:bCs/>
          <w:color w:val="222222"/>
          <w:sz w:val="32"/>
          <w:szCs w:val="32"/>
        </w:rPr>
        <w:t xml:space="preserve"> </w:t>
      </w:r>
    </w:p>
    <w:p w14:paraId="462A0105" w14:textId="77777777" w:rsidR="00301EEE" w:rsidRPr="00324968" w:rsidRDefault="00301EEE" w:rsidP="00301EEE">
      <w:pPr>
        <w:shd w:val="clear" w:color="auto" w:fill="FFFFFF"/>
        <w:spacing w:after="200" w:line="506" w:lineRule="atLeast"/>
        <w:jc w:val="center"/>
        <w:rPr>
          <w:color w:val="222222"/>
          <w:sz w:val="32"/>
          <w:szCs w:val="32"/>
        </w:rPr>
      </w:pPr>
      <w:r>
        <w:rPr>
          <w:b/>
          <w:bCs/>
          <w:color w:val="222222"/>
          <w:sz w:val="32"/>
          <w:szCs w:val="32"/>
        </w:rPr>
        <w:t>O COTSG urxe á Xunta a tomar medidas de acompañamento social e de protección das traballadoras do SAF</w:t>
      </w:r>
    </w:p>
    <w:p w14:paraId="5475F7DA" w14:textId="77777777" w:rsidR="00301EEE" w:rsidRDefault="00301EEE" w:rsidP="00301EEE">
      <w:pPr>
        <w:pStyle w:val="Textoindependiente"/>
        <w:widowControl w:val="0"/>
        <w:numPr>
          <w:ilvl w:val="0"/>
          <w:numId w:val="1"/>
        </w:numPr>
        <w:kinsoku w:val="0"/>
        <w:overflowPunct w:val="0"/>
        <w:autoSpaceDE w:val="0"/>
        <w:autoSpaceDN w:val="0"/>
        <w:adjustRightInd w:val="0"/>
        <w:spacing w:before="260" w:line="276" w:lineRule="auto"/>
        <w:ind w:right="476"/>
        <w:jc w:val="both"/>
        <w:rPr>
          <w:b/>
          <w:bCs/>
          <w:i/>
          <w:iCs/>
        </w:rPr>
      </w:pPr>
      <w:r>
        <w:rPr>
          <w:b/>
          <w:bCs/>
          <w:i/>
          <w:iCs/>
        </w:rPr>
        <w:t xml:space="preserve">Desde a Xunta de </w:t>
      </w:r>
      <w:proofErr w:type="spellStart"/>
      <w:r>
        <w:rPr>
          <w:b/>
          <w:bCs/>
          <w:i/>
          <w:iCs/>
        </w:rPr>
        <w:t>Goberno</w:t>
      </w:r>
      <w:proofErr w:type="spellEnd"/>
      <w:r>
        <w:rPr>
          <w:b/>
          <w:bCs/>
          <w:i/>
          <w:iCs/>
        </w:rPr>
        <w:t xml:space="preserve"> consideran que, de non </w:t>
      </w:r>
      <w:proofErr w:type="spellStart"/>
      <w:r>
        <w:rPr>
          <w:b/>
          <w:bCs/>
          <w:i/>
          <w:iCs/>
        </w:rPr>
        <w:t>facelo</w:t>
      </w:r>
      <w:proofErr w:type="spellEnd"/>
      <w:r>
        <w:rPr>
          <w:b/>
          <w:bCs/>
          <w:i/>
          <w:iCs/>
        </w:rPr>
        <w:t xml:space="preserve">, se poden producir situación de “extrema </w:t>
      </w:r>
      <w:proofErr w:type="spellStart"/>
      <w:r>
        <w:rPr>
          <w:b/>
          <w:bCs/>
          <w:i/>
          <w:iCs/>
        </w:rPr>
        <w:t>gravidade</w:t>
      </w:r>
      <w:proofErr w:type="spellEnd"/>
      <w:r>
        <w:rPr>
          <w:b/>
          <w:bCs/>
          <w:i/>
          <w:iCs/>
        </w:rPr>
        <w:t xml:space="preserve">” e aporta directrices a </w:t>
      </w:r>
      <w:proofErr w:type="spellStart"/>
      <w:r>
        <w:rPr>
          <w:b/>
          <w:bCs/>
          <w:i/>
          <w:iCs/>
        </w:rPr>
        <w:t>maiores</w:t>
      </w:r>
      <w:proofErr w:type="spellEnd"/>
    </w:p>
    <w:p w14:paraId="4CB25AA2" w14:textId="77777777" w:rsidR="00301EEE" w:rsidRDefault="00301EEE" w:rsidP="00301EEE">
      <w:pPr>
        <w:pStyle w:val="Textoindependiente"/>
        <w:kinsoku w:val="0"/>
        <w:overflowPunct w:val="0"/>
        <w:spacing w:before="197" w:line="276" w:lineRule="auto"/>
        <w:ind w:left="260" w:right="477"/>
        <w:jc w:val="both"/>
        <w:rPr>
          <w:color w:val="333333"/>
        </w:rPr>
      </w:pPr>
    </w:p>
    <w:p w14:paraId="714BDD07" w14:textId="77777777" w:rsidR="00301EEE" w:rsidRDefault="00301EEE" w:rsidP="00301EEE">
      <w:pPr>
        <w:pStyle w:val="Standard"/>
        <w:rPr>
          <w:rFonts w:ascii="Malgun Gothic" w:hAnsi="Malgun Gothic"/>
          <w:sz w:val="22"/>
          <w:szCs w:val="22"/>
        </w:rPr>
      </w:pPr>
      <w:r w:rsidRPr="00324968">
        <w:rPr>
          <w:i/>
          <w:iCs/>
        </w:rPr>
        <w:t xml:space="preserve">Redacción, </w:t>
      </w:r>
      <w:r>
        <w:rPr>
          <w:i/>
          <w:iCs/>
        </w:rPr>
        <w:t>17</w:t>
      </w:r>
      <w:r w:rsidRPr="00324968">
        <w:rPr>
          <w:i/>
          <w:iCs/>
        </w:rPr>
        <w:t>-0</w:t>
      </w:r>
      <w:r>
        <w:rPr>
          <w:i/>
          <w:iCs/>
        </w:rPr>
        <w:t>3</w:t>
      </w:r>
      <w:r w:rsidRPr="00324968">
        <w:rPr>
          <w:i/>
          <w:iCs/>
        </w:rPr>
        <w:t>-20</w:t>
      </w:r>
      <w:r>
        <w:rPr>
          <w:i/>
          <w:iCs/>
        </w:rPr>
        <w:t>.-</w:t>
      </w:r>
      <w:r w:rsidRPr="00E83B91">
        <w:rPr>
          <w:rFonts w:ascii="Malgun Gothic" w:hAnsi="Malgun Gothic"/>
          <w:sz w:val="22"/>
          <w:szCs w:val="22"/>
        </w:rPr>
        <w:t xml:space="preserve"> </w:t>
      </w:r>
      <w:r>
        <w:rPr>
          <w:rFonts w:ascii="Malgun Gothic" w:hAnsi="Malgun Gothic"/>
          <w:sz w:val="22"/>
          <w:szCs w:val="22"/>
        </w:rPr>
        <w:t xml:space="preserve">O pasado 12  e 13 de marzo o goberno autonómico anunciou unha serie de medidas de orde sanitario e social para a prevención da extensión e contaxio do virus COVID19. En dito paquete está o peche dos centros de día, tanto de persoas maiores como de persoas con discapacidade, centros </w:t>
      </w:r>
      <w:proofErr w:type="spellStart"/>
      <w:r>
        <w:rPr>
          <w:rFonts w:ascii="Malgun Gothic" w:hAnsi="Malgun Gothic"/>
          <w:sz w:val="22"/>
          <w:szCs w:val="22"/>
        </w:rPr>
        <w:t>sociocomunitarios</w:t>
      </w:r>
      <w:proofErr w:type="spellEnd"/>
      <w:r>
        <w:rPr>
          <w:rFonts w:ascii="Malgun Gothic" w:hAnsi="Malgun Gothic"/>
          <w:sz w:val="22"/>
          <w:szCs w:val="22"/>
        </w:rPr>
        <w:t xml:space="preserve"> así como a </w:t>
      </w:r>
      <w:proofErr w:type="spellStart"/>
      <w:r>
        <w:rPr>
          <w:rFonts w:ascii="Malgun Gothic" w:hAnsi="Malgun Gothic"/>
          <w:sz w:val="22"/>
          <w:szCs w:val="22"/>
        </w:rPr>
        <w:t>imposiblidade</w:t>
      </w:r>
      <w:proofErr w:type="spellEnd"/>
      <w:r>
        <w:rPr>
          <w:rFonts w:ascii="Malgun Gothic" w:hAnsi="Malgun Gothic"/>
          <w:sz w:val="22"/>
          <w:szCs w:val="22"/>
        </w:rPr>
        <w:t xml:space="preserve"> de ingreso en centro residencial para persoas maiores, menores e o peche de centros escolares.</w:t>
      </w:r>
    </w:p>
    <w:p w14:paraId="066B5021" w14:textId="77777777" w:rsidR="00301EEE" w:rsidRDefault="00301EEE" w:rsidP="00301EEE">
      <w:pPr>
        <w:pStyle w:val="Standard"/>
        <w:rPr>
          <w:rFonts w:ascii="Malgun Gothic" w:hAnsi="Malgun Gothic"/>
          <w:sz w:val="22"/>
          <w:szCs w:val="22"/>
        </w:rPr>
      </w:pPr>
    </w:p>
    <w:p w14:paraId="5DEDBBC2" w14:textId="77777777" w:rsidR="00301EEE" w:rsidRDefault="00301EEE" w:rsidP="00301EEE">
      <w:pPr>
        <w:pStyle w:val="Standard"/>
        <w:rPr>
          <w:rFonts w:ascii="Malgun Gothic" w:hAnsi="Malgun Gothic"/>
          <w:sz w:val="22"/>
          <w:szCs w:val="22"/>
        </w:rPr>
      </w:pPr>
      <w:r>
        <w:rPr>
          <w:rFonts w:ascii="Malgun Gothic" w:hAnsi="Malgun Gothic"/>
          <w:sz w:val="22"/>
          <w:szCs w:val="22"/>
        </w:rPr>
        <w:t xml:space="preserve">Porén, a Xunta de Goberno do COTSG subliña que non se están a “tomar medidas de prevención e protección social” que de carácter “urxente” se debían estar aplicando tras o peche e cancelación destes servizos. A atención social de persoas en fraxilidade, da cobertura ordinaria das súas necesidades mais básicas de subsistencia, que as protexe de situacións de claudicación ou ansiedade, queda interrompida. Desde o COTSG alertan de que esta “interrupción abrupta pode derivar en situacións de moita gravidade”. </w:t>
      </w:r>
    </w:p>
    <w:p w14:paraId="0448DD0B" w14:textId="77777777" w:rsidR="00301EEE" w:rsidRDefault="00301EEE" w:rsidP="00301EEE">
      <w:pPr>
        <w:pStyle w:val="Standard"/>
        <w:rPr>
          <w:rFonts w:ascii="Malgun Gothic" w:hAnsi="Malgun Gothic"/>
          <w:sz w:val="22"/>
          <w:szCs w:val="22"/>
        </w:rPr>
      </w:pPr>
    </w:p>
    <w:p w14:paraId="7A54A11F" w14:textId="77777777" w:rsidR="00301EEE" w:rsidRPr="00B45D90" w:rsidRDefault="00301EEE" w:rsidP="00301EEE">
      <w:pPr>
        <w:pStyle w:val="Standard"/>
        <w:rPr>
          <w:rFonts w:ascii="Malgun Gothic" w:hAnsi="Malgun Gothic"/>
          <w:b/>
          <w:bCs/>
          <w:sz w:val="22"/>
          <w:szCs w:val="22"/>
        </w:rPr>
      </w:pPr>
      <w:r w:rsidRPr="00B45D90">
        <w:rPr>
          <w:rFonts w:ascii="Malgun Gothic" w:hAnsi="Malgun Gothic"/>
          <w:b/>
          <w:bCs/>
          <w:sz w:val="22"/>
          <w:szCs w:val="22"/>
        </w:rPr>
        <w:t xml:space="preserve">Servizo de atención no fogar </w:t>
      </w:r>
    </w:p>
    <w:p w14:paraId="1BB60FF6" w14:textId="77777777" w:rsidR="00301EEE" w:rsidRDefault="00301EEE" w:rsidP="00301EEE">
      <w:pPr>
        <w:pStyle w:val="Standard"/>
        <w:rPr>
          <w:rFonts w:ascii="Malgun Gothic" w:hAnsi="Malgun Gothic"/>
          <w:sz w:val="22"/>
          <w:szCs w:val="22"/>
        </w:rPr>
      </w:pPr>
      <w:r>
        <w:rPr>
          <w:rFonts w:ascii="Malgun Gothic" w:hAnsi="Malgun Gothic"/>
          <w:sz w:val="22"/>
          <w:szCs w:val="22"/>
        </w:rPr>
        <w:t xml:space="preserve">Outra cuestión que preocupa á entidade é que a Xunta non está “tendo en consideración o servizo de axuda no fogar (SAF)”. A Xunta de Goberno ten “constancia” de que “non todas as empresas </w:t>
      </w:r>
      <w:proofErr w:type="spellStart"/>
      <w:r>
        <w:rPr>
          <w:rFonts w:ascii="Malgun Gothic" w:hAnsi="Malgun Gothic"/>
          <w:sz w:val="22"/>
          <w:szCs w:val="22"/>
        </w:rPr>
        <w:t>prestadoras</w:t>
      </w:r>
      <w:proofErr w:type="spellEnd"/>
      <w:r>
        <w:rPr>
          <w:rFonts w:ascii="Malgun Gothic" w:hAnsi="Malgun Gothic"/>
          <w:sz w:val="22"/>
          <w:szCs w:val="22"/>
        </w:rPr>
        <w:t xml:space="preserve"> de SAF poñen a disposición das auxiliares as medidas de prevención para o contaxio e propagación do </w:t>
      </w:r>
      <w:proofErr w:type="spellStart"/>
      <w:r>
        <w:rPr>
          <w:rFonts w:ascii="Malgun Gothic" w:hAnsi="Malgun Gothic"/>
          <w:sz w:val="22"/>
          <w:szCs w:val="22"/>
        </w:rPr>
        <w:t>coronavirus</w:t>
      </w:r>
      <w:proofErr w:type="spellEnd"/>
      <w:r>
        <w:rPr>
          <w:rFonts w:ascii="Malgun Gothic" w:hAnsi="Malgun Gothic"/>
          <w:sz w:val="22"/>
          <w:szCs w:val="22"/>
        </w:rPr>
        <w:t xml:space="preserve">”. Ao fío disto engaden que “se ben é certo que a xestión directa do SAF correspóndelle ás entidades locais, tamén é certo que a Xunta e as Deputacións teñen a obriga de asistir aos concellos tanto a nivel técnico como material”. Nesta liña consideran que “esta asistencia debería ser inmediata e </w:t>
      </w:r>
      <w:r>
        <w:rPr>
          <w:rFonts w:ascii="Malgun Gothic" w:hAnsi="Malgun Gothic"/>
          <w:sz w:val="22"/>
          <w:szCs w:val="22"/>
        </w:rPr>
        <w:lastRenderedPageBreak/>
        <w:t>coordinada”.</w:t>
      </w:r>
    </w:p>
    <w:p w14:paraId="328F00D9" w14:textId="77777777" w:rsidR="00301EEE" w:rsidRDefault="00301EEE" w:rsidP="00301EEE">
      <w:pPr>
        <w:pStyle w:val="Standard"/>
        <w:rPr>
          <w:rFonts w:ascii="Malgun Gothic" w:hAnsi="Malgun Gothic"/>
          <w:b/>
          <w:bCs/>
          <w:sz w:val="22"/>
          <w:szCs w:val="22"/>
        </w:rPr>
      </w:pPr>
    </w:p>
    <w:p w14:paraId="33204C51" w14:textId="77777777" w:rsidR="00301EEE" w:rsidRDefault="00301EEE" w:rsidP="00301EEE">
      <w:pPr>
        <w:pStyle w:val="Standard"/>
        <w:rPr>
          <w:rFonts w:ascii="Malgun Gothic" w:hAnsi="Malgun Gothic"/>
          <w:b/>
          <w:bCs/>
          <w:sz w:val="22"/>
          <w:szCs w:val="22"/>
        </w:rPr>
      </w:pPr>
      <w:r w:rsidRPr="000208B4">
        <w:rPr>
          <w:rFonts w:ascii="Malgun Gothic" w:hAnsi="Malgun Gothic"/>
          <w:b/>
          <w:bCs/>
          <w:sz w:val="22"/>
          <w:szCs w:val="22"/>
        </w:rPr>
        <w:t>Residencias</w:t>
      </w:r>
      <w:r>
        <w:rPr>
          <w:rFonts w:ascii="Malgun Gothic" w:hAnsi="Malgun Gothic"/>
          <w:b/>
          <w:bCs/>
          <w:sz w:val="22"/>
          <w:szCs w:val="22"/>
        </w:rPr>
        <w:t xml:space="preserve">, </w:t>
      </w:r>
      <w:r w:rsidRPr="000208B4">
        <w:rPr>
          <w:rFonts w:ascii="Malgun Gothic" w:hAnsi="Malgun Gothic"/>
          <w:b/>
          <w:bCs/>
          <w:sz w:val="22"/>
          <w:szCs w:val="22"/>
        </w:rPr>
        <w:t>centros de día</w:t>
      </w:r>
      <w:r>
        <w:rPr>
          <w:rFonts w:ascii="Malgun Gothic" w:hAnsi="Malgun Gothic"/>
          <w:b/>
          <w:bCs/>
          <w:sz w:val="22"/>
          <w:szCs w:val="22"/>
        </w:rPr>
        <w:t xml:space="preserve"> e centros educativos</w:t>
      </w:r>
    </w:p>
    <w:p w14:paraId="791C7DD7" w14:textId="77777777" w:rsidR="00301EEE" w:rsidRDefault="00301EEE" w:rsidP="00301EEE">
      <w:pPr>
        <w:pStyle w:val="Standard"/>
        <w:rPr>
          <w:rFonts w:ascii="Malgun Gothic" w:hAnsi="Malgun Gothic"/>
          <w:sz w:val="22"/>
          <w:szCs w:val="22"/>
        </w:rPr>
      </w:pPr>
      <w:r>
        <w:rPr>
          <w:rFonts w:ascii="Malgun Gothic" w:hAnsi="Malgun Gothic"/>
          <w:sz w:val="22"/>
          <w:szCs w:val="22"/>
        </w:rPr>
        <w:t xml:space="preserve">Para o COTSG o “peche de centros de día provoca unha serie de situacións de emerxencia que non se están a resolver”, por exemplo, “persoas sen rede de apoio cunha dependencia moderada a alta que non poden acudir ao centro de día e non teñen garantida a alimentación básica ou aseo nos próximos 15 días”. Engaden, tamén persoas con coidadores de “avanzada idade ou con outras discapacidades que non poden soster por 15 días as atencións que precisan”. </w:t>
      </w:r>
    </w:p>
    <w:p w14:paraId="551486B5" w14:textId="77777777" w:rsidR="00301EEE" w:rsidRDefault="00301EEE" w:rsidP="00301EEE">
      <w:pPr>
        <w:pStyle w:val="Standard"/>
        <w:rPr>
          <w:rFonts w:ascii="Malgun Gothic" w:hAnsi="Malgun Gothic"/>
          <w:sz w:val="22"/>
          <w:szCs w:val="22"/>
        </w:rPr>
      </w:pPr>
    </w:p>
    <w:p w14:paraId="0F80B349" w14:textId="77777777" w:rsidR="00301EEE" w:rsidRDefault="00301EEE" w:rsidP="00301EEE">
      <w:pPr>
        <w:pStyle w:val="Standard"/>
        <w:rPr>
          <w:rFonts w:ascii="Malgun Gothic" w:hAnsi="Malgun Gothic"/>
          <w:sz w:val="22"/>
          <w:szCs w:val="22"/>
        </w:rPr>
      </w:pPr>
      <w:r>
        <w:rPr>
          <w:rFonts w:ascii="Malgun Gothic" w:hAnsi="Malgun Gothic"/>
          <w:sz w:val="22"/>
          <w:szCs w:val="22"/>
        </w:rPr>
        <w:t>Ademais, a Xunta de Goberno cre que “a imposibilidade de executar ingresos residenciais impide que persoas que se atopen en emerxencia social poidan acceder ao recurso que precisan. Isto provoca a ocupación de camas nos centros hospitalarios (que hai que liberar) ou situacións de extrema gravidade e risco nos domicilios”</w:t>
      </w:r>
    </w:p>
    <w:p w14:paraId="576AAFB7" w14:textId="77777777" w:rsidR="00301EEE" w:rsidRDefault="00301EEE" w:rsidP="00301EEE">
      <w:pPr>
        <w:pStyle w:val="Standard"/>
        <w:rPr>
          <w:rFonts w:ascii="Malgun Gothic" w:hAnsi="Malgun Gothic"/>
          <w:sz w:val="22"/>
          <w:szCs w:val="22"/>
        </w:rPr>
      </w:pPr>
    </w:p>
    <w:p w14:paraId="32E3E22A" w14:textId="77777777" w:rsidR="00301EEE" w:rsidRDefault="00301EEE" w:rsidP="00301EEE">
      <w:pPr>
        <w:pStyle w:val="Standard"/>
        <w:rPr>
          <w:rFonts w:ascii="Malgun Gothic" w:hAnsi="Malgun Gothic"/>
          <w:sz w:val="22"/>
          <w:szCs w:val="22"/>
        </w:rPr>
      </w:pPr>
      <w:r>
        <w:rPr>
          <w:rFonts w:ascii="Malgun Gothic" w:hAnsi="Malgun Gothic"/>
          <w:sz w:val="22"/>
          <w:szCs w:val="22"/>
        </w:rPr>
        <w:t>Do mesmo xeito subliñan que o peche de centros educativos deriva en que “existan proxenitores que, pola falta de rede social con profesións que non interrompen a súa actividade laboral, teñan serias dificultades para prestar a precisa atención e garantir o illamento e benestar das persoas menores ao seu cargo”</w:t>
      </w:r>
    </w:p>
    <w:p w14:paraId="6B682133" w14:textId="77777777" w:rsidR="00301EEE" w:rsidRDefault="00301EEE" w:rsidP="00301EEE">
      <w:pPr>
        <w:pStyle w:val="Standard"/>
        <w:rPr>
          <w:rFonts w:ascii="Malgun Gothic" w:hAnsi="Malgun Gothic"/>
          <w:sz w:val="22"/>
          <w:szCs w:val="22"/>
        </w:rPr>
      </w:pPr>
    </w:p>
    <w:p w14:paraId="14CE875C" w14:textId="77777777" w:rsidR="00301EEE" w:rsidRDefault="00301EEE" w:rsidP="00301EEE">
      <w:pPr>
        <w:pStyle w:val="Standard"/>
        <w:tabs>
          <w:tab w:val="left" w:pos="2100"/>
        </w:tabs>
        <w:rPr>
          <w:rFonts w:ascii="Malgun Gothic" w:hAnsi="Malgun Gothic"/>
          <w:sz w:val="22"/>
          <w:szCs w:val="22"/>
        </w:rPr>
      </w:pPr>
      <w:r>
        <w:rPr>
          <w:rFonts w:ascii="Malgun Gothic" w:hAnsi="Malgun Gothic"/>
          <w:sz w:val="22"/>
          <w:szCs w:val="22"/>
        </w:rPr>
        <w:t>Así, desde o COTSG consideran que se están a “</w:t>
      </w:r>
      <w:r>
        <w:rPr>
          <w:rFonts w:ascii="Malgun Gothic" w:hAnsi="Malgun Gothic"/>
          <w:b/>
          <w:bCs/>
          <w:sz w:val="22"/>
          <w:szCs w:val="22"/>
        </w:rPr>
        <w:t xml:space="preserve">obviar as medidas de acompañamento social que deben ir parellas aos peches de centros e servizos de xeito inminente” e SOLICITAN á Consellería de Política Social e á Consellería de Sanidade as seguintes medidas: </w:t>
      </w:r>
      <w:r>
        <w:rPr>
          <w:rFonts w:ascii="Malgun Gothic" w:hAnsi="Malgun Gothic"/>
          <w:sz w:val="22"/>
          <w:szCs w:val="22"/>
        </w:rPr>
        <w:t xml:space="preserve"> </w:t>
      </w:r>
    </w:p>
    <w:p w14:paraId="522B8234" w14:textId="77777777" w:rsidR="00301EEE" w:rsidRDefault="00301EEE" w:rsidP="00301EEE">
      <w:pPr>
        <w:pStyle w:val="Standard"/>
        <w:rPr>
          <w:rFonts w:ascii="Malgun Gothic" w:hAnsi="Malgun Gothic"/>
          <w:sz w:val="22"/>
          <w:szCs w:val="22"/>
        </w:rPr>
      </w:pPr>
    </w:p>
    <w:p w14:paraId="6A2EDE0E" w14:textId="77777777" w:rsidR="00301EEE" w:rsidRDefault="00301EEE" w:rsidP="00301EEE">
      <w:pPr>
        <w:pStyle w:val="Standard"/>
        <w:rPr>
          <w:rFonts w:ascii="Malgun Gothic" w:hAnsi="Malgun Gothic"/>
          <w:sz w:val="22"/>
          <w:szCs w:val="22"/>
        </w:rPr>
      </w:pPr>
      <w:r>
        <w:rPr>
          <w:rFonts w:ascii="Malgun Gothic" w:hAnsi="Malgun Gothic"/>
          <w:sz w:val="22"/>
          <w:szCs w:val="22"/>
        </w:rPr>
        <w:t xml:space="preserve">- Crear de xeito inmediato </w:t>
      </w:r>
      <w:r>
        <w:rPr>
          <w:rFonts w:ascii="Malgun Gothic" w:hAnsi="Malgun Gothic"/>
          <w:b/>
          <w:bCs/>
          <w:sz w:val="22"/>
          <w:szCs w:val="22"/>
        </w:rPr>
        <w:t xml:space="preserve">Mesas de Coordinación </w:t>
      </w:r>
      <w:proofErr w:type="spellStart"/>
      <w:r>
        <w:rPr>
          <w:rFonts w:ascii="Malgun Gothic" w:hAnsi="Malgun Gothic"/>
          <w:b/>
          <w:bCs/>
          <w:sz w:val="22"/>
          <w:szCs w:val="22"/>
        </w:rPr>
        <w:t>Sociosanitaria</w:t>
      </w:r>
      <w:proofErr w:type="spellEnd"/>
      <w:r>
        <w:rPr>
          <w:rFonts w:ascii="Malgun Gothic" w:hAnsi="Malgun Gothic"/>
          <w:sz w:val="22"/>
          <w:szCs w:val="22"/>
        </w:rPr>
        <w:t>, con todos os axentes implicados; persoal de dirección da Xunta de Galicia, Sergas,  Servizos Sociais Comunitarios e Servizos Sociais Específicos co obxecto de artellar un plan de actuación de emerxencia social e dar cobertura as  persoas con especiais dificultades para a superación do illamento e peche de centros e servizos.</w:t>
      </w:r>
    </w:p>
    <w:p w14:paraId="23099EC5" w14:textId="77777777" w:rsidR="00301EEE" w:rsidRDefault="00301EEE" w:rsidP="00301EEE">
      <w:pPr>
        <w:pStyle w:val="Standard"/>
        <w:rPr>
          <w:rFonts w:ascii="Malgun Gothic" w:hAnsi="Malgun Gothic"/>
          <w:b/>
          <w:bCs/>
          <w:sz w:val="22"/>
          <w:szCs w:val="22"/>
        </w:rPr>
      </w:pPr>
      <w:r w:rsidRPr="00F8132D">
        <w:rPr>
          <w:rFonts w:ascii="Malgun Gothic" w:hAnsi="Malgun Gothic"/>
          <w:b/>
          <w:bCs/>
          <w:sz w:val="22"/>
          <w:szCs w:val="22"/>
        </w:rPr>
        <w:t xml:space="preserve">- Integrar ás xefas de servizo de traballo social </w:t>
      </w:r>
      <w:r>
        <w:rPr>
          <w:rFonts w:ascii="Malgun Gothic" w:hAnsi="Malgun Gothic"/>
          <w:b/>
          <w:bCs/>
          <w:sz w:val="22"/>
          <w:szCs w:val="22"/>
        </w:rPr>
        <w:t>dos ámbitos sociais sanitarios</w:t>
      </w:r>
      <w:r w:rsidRPr="00F8132D">
        <w:rPr>
          <w:rFonts w:ascii="Malgun Gothic" w:hAnsi="Malgun Gothic"/>
          <w:b/>
          <w:bCs/>
          <w:sz w:val="22"/>
          <w:szCs w:val="22"/>
        </w:rPr>
        <w:t xml:space="preserve"> no comité de crise.</w:t>
      </w:r>
    </w:p>
    <w:p w14:paraId="431CC3AF" w14:textId="77777777" w:rsidR="00301EEE" w:rsidRDefault="00301EEE" w:rsidP="00301EEE">
      <w:pPr>
        <w:pStyle w:val="Standard"/>
        <w:rPr>
          <w:rFonts w:ascii="Malgun Gothic" w:hAnsi="Malgun Gothic"/>
          <w:sz w:val="22"/>
          <w:szCs w:val="22"/>
        </w:rPr>
      </w:pPr>
      <w:r>
        <w:rPr>
          <w:rFonts w:ascii="Malgun Gothic" w:hAnsi="Malgun Gothic"/>
          <w:sz w:val="22"/>
          <w:szCs w:val="22"/>
        </w:rPr>
        <w:t xml:space="preserve">- </w:t>
      </w:r>
      <w:r>
        <w:rPr>
          <w:rFonts w:ascii="Malgun Gothic" w:hAnsi="Malgun Gothic"/>
          <w:b/>
          <w:bCs/>
          <w:sz w:val="22"/>
          <w:szCs w:val="22"/>
        </w:rPr>
        <w:t>Regular os servizos mínimos a dispensar polas auxiliares de axuda no fogar</w:t>
      </w:r>
      <w:r>
        <w:rPr>
          <w:rFonts w:ascii="Malgun Gothic" w:hAnsi="Malgun Gothic"/>
          <w:sz w:val="22"/>
          <w:szCs w:val="22"/>
        </w:rPr>
        <w:t>, e dotar a estas persoas de todo o material de protección preciso, equiparándoas ao persoal sanitario co obxecto de evitar a propagación do virus nos colectivos máis sensibles.</w:t>
      </w:r>
    </w:p>
    <w:p w14:paraId="418BDB6E" w14:textId="77777777" w:rsidR="00301EEE" w:rsidRDefault="00301EEE" w:rsidP="00301EEE">
      <w:pPr>
        <w:pStyle w:val="Standard"/>
        <w:rPr>
          <w:rFonts w:ascii="Malgun Gothic" w:hAnsi="Malgun Gothic"/>
          <w:sz w:val="22"/>
          <w:szCs w:val="22"/>
        </w:rPr>
      </w:pPr>
      <w:r>
        <w:rPr>
          <w:rFonts w:ascii="Malgun Gothic" w:hAnsi="Malgun Gothic"/>
          <w:sz w:val="22"/>
          <w:szCs w:val="22"/>
        </w:rPr>
        <w:t xml:space="preserve">- Establecer un </w:t>
      </w:r>
      <w:r>
        <w:rPr>
          <w:rFonts w:ascii="Malgun Gothic" w:hAnsi="Malgun Gothic"/>
          <w:b/>
          <w:bCs/>
          <w:sz w:val="22"/>
          <w:szCs w:val="22"/>
        </w:rPr>
        <w:t>servizo de reparto de alimentos</w:t>
      </w:r>
      <w:r>
        <w:rPr>
          <w:rFonts w:ascii="Malgun Gothic" w:hAnsi="Malgun Gothic"/>
          <w:sz w:val="22"/>
          <w:szCs w:val="22"/>
        </w:rPr>
        <w:t xml:space="preserve"> tanto preparados como non preparados (alimentos frescos) para aquelas persoas con especiais dificultades para o mantemento das súas necesidades básicas tras o peche de centros.</w:t>
      </w:r>
    </w:p>
    <w:p w14:paraId="2D6DD00C" w14:textId="77777777" w:rsidR="00301EEE" w:rsidRDefault="00301EEE" w:rsidP="00301EEE">
      <w:pPr>
        <w:pStyle w:val="Standard"/>
        <w:rPr>
          <w:rFonts w:ascii="Malgun Gothic" w:hAnsi="Malgun Gothic"/>
          <w:sz w:val="22"/>
          <w:szCs w:val="22"/>
        </w:rPr>
      </w:pPr>
      <w:r>
        <w:rPr>
          <w:rFonts w:ascii="Malgun Gothic" w:hAnsi="Malgun Gothic"/>
          <w:sz w:val="22"/>
          <w:szCs w:val="22"/>
        </w:rPr>
        <w:t xml:space="preserve">- Permitir o </w:t>
      </w:r>
      <w:r w:rsidRPr="0092236E">
        <w:rPr>
          <w:rFonts w:ascii="Malgun Gothic" w:hAnsi="Malgun Gothic"/>
          <w:b/>
          <w:bCs/>
          <w:sz w:val="22"/>
          <w:szCs w:val="22"/>
        </w:rPr>
        <w:t>in</w:t>
      </w:r>
      <w:r>
        <w:rPr>
          <w:rFonts w:ascii="Malgun Gothic" w:hAnsi="Malgun Gothic"/>
          <w:b/>
          <w:bCs/>
          <w:sz w:val="22"/>
          <w:szCs w:val="22"/>
        </w:rPr>
        <w:t xml:space="preserve">greso en centros residenciais das situacións de emerxencia social </w:t>
      </w:r>
      <w:r>
        <w:rPr>
          <w:rFonts w:ascii="Malgun Gothic" w:hAnsi="Malgun Gothic"/>
          <w:sz w:val="22"/>
          <w:szCs w:val="22"/>
        </w:rPr>
        <w:t>e extrema gravidade, mantendo a corentena das persoas ingresadas nos propios centros para garantir a cobertura das súas necesidade básicas.</w:t>
      </w:r>
    </w:p>
    <w:p w14:paraId="68D321F7" w14:textId="77777777" w:rsidR="00301EEE" w:rsidRDefault="00301EEE" w:rsidP="00301EEE">
      <w:pPr>
        <w:pStyle w:val="Standard"/>
        <w:rPr>
          <w:rFonts w:ascii="Malgun Gothic" w:hAnsi="Malgun Gothic"/>
          <w:sz w:val="22"/>
          <w:szCs w:val="22"/>
        </w:rPr>
      </w:pPr>
      <w:r>
        <w:rPr>
          <w:rFonts w:ascii="Malgun Gothic" w:hAnsi="Malgun Gothic"/>
          <w:sz w:val="22"/>
          <w:szCs w:val="22"/>
        </w:rPr>
        <w:t>-Habilitar un</w:t>
      </w:r>
      <w:r>
        <w:rPr>
          <w:rFonts w:ascii="Malgun Gothic" w:hAnsi="Malgun Gothic"/>
          <w:b/>
          <w:bCs/>
          <w:sz w:val="22"/>
          <w:szCs w:val="22"/>
        </w:rPr>
        <w:t xml:space="preserve"> teléfono específico  de atención social</w:t>
      </w:r>
      <w:r>
        <w:rPr>
          <w:rFonts w:ascii="Malgun Gothic" w:hAnsi="Malgun Gothic"/>
          <w:sz w:val="22"/>
          <w:szCs w:val="22"/>
        </w:rPr>
        <w:t>, co obxecto de atender, coordinar e derivar as demandas de tipo social e urxente que se poidan presentar derivadas da situación de illamento</w:t>
      </w:r>
    </w:p>
    <w:p w14:paraId="06CAF71F" w14:textId="77777777" w:rsidR="00301EEE" w:rsidRDefault="00301EEE" w:rsidP="00301EEE">
      <w:pPr>
        <w:pStyle w:val="Standard"/>
        <w:rPr>
          <w:rFonts w:ascii="Malgun Gothic" w:hAnsi="Malgun Gothic"/>
          <w:sz w:val="22"/>
          <w:szCs w:val="22"/>
        </w:rPr>
      </w:pPr>
      <w:r>
        <w:rPr>
          <w:rFonts w:ascii="Malgun Gothic" w:hAnsi="Malgun Gothic"/>
          <w:sz w:val="22"/>
          <w:szCs w:val="22"/>
        </w:rPr>
        <w:t xml:space="preserve">- Dar cobertura técnica e profesional ás entidades locais que carezan de persoal cualificado para a xestión de emerxencias para axudar a crear </w:t>
      </w:r>
      <w:r>
        <w:rPr>
          <w:rFonts w:ascii="Malgun Gothic" w:hAnsi="Malgun Gothic"/>
          <w:b/>
          <w:bCs/>
          <w:sz w:val="22"/>
          <w:szCs w:val="22"/>
        </w:rPr>
        <w:t xml:space="preserve">protocolos de atención en situacións urxentes non sanitarias </w:t>
      </w:r>
      <w:r>
        <w:rPr>
          <w:rFonts w:ascii="Malgun Gothic" w:hAnsi="Malgun Gothic"/>
          <w:sz w:val="22"/>
          <w:szCs w:val="22"/>
        </w:rPr>
        <w:t>derivadas do illamento</w:t>
      </w:r>
    </w:p>
    <w:p w14:paraId="33771370" w14:textId="77777777" w:rsidR="00301EEE" w:rsidRDefault="00301EEE" w:rsidP="00301EEE">
      <w:pPr>
        <w:pStyle w:val="Standard"/>
        <w:rPr>
          <w:rFonts w:ascii="Malgun Gothic" w:hAnsi="Malgun Gothic"/>
          <w:sz w:val="22"/>
          <w:szCs w:val="22"/>
        </w:rPr>
      </w:pPr>
      <w:r>
        <w:rPr>
          <w:rFonts w:ascii="Malgun Gothic" w:hAnsi="Malgun Gothic"/>
          <w:sz w:val="22"/>
          <w:szCs w:val="22"/>
        </w:rPr>
        <w:t xml:space="preserve">- </w:t>
      </w:r>
      <w:r>
        <w:rPr>
          <w:rFonts w:ascii="Malgun Gothic" w:hAnsi="Malgun Gothic"/>
          <w:b/>
          <w:bCs/>
          <w:sz w:val="22"/>
          <w:szCs w:val="22"/>
        </w:rPr>
        <w:t>Ofrecer orientacións básicas e homoxéneas</w:t>
      </w:r>
      <w:r>
        <w:rPr>
          <w:rFonts w:ascii="Malgun Gothic" w:hAnsi="Malgun Gothic"/>
          <w:sz w:val="22"/>
          <w:szCs w:val="22"/>
        </w:rPr>
        <w:t xml:space="preserve"> a todas as profesionais do social que nestes días terán que atender a demanda  e pregunta de persoas que carecen de rede social de apoio ou presentan especiais dificultades</w:t>
      </w:r>
    </w:p>
    <w:p w14:paraId="642D1EDC" w14:textId="77777777" w:rsidR="007C33CC" w:rsidRDefault="007C33CC" w:rsidP="00301EEE">
      <w:pPr>
        <w:shd w:val="clear" w:color="auto" w:fill="FFFFFF"/>
        <w:spacing w:after="200" w:line="506" w:lineRule="atLeast"/>
        <w:jc w:val="center"/>
        <w:rPr>
          <w:b/>
          <w:bCs/>
          <w:color w:val="222222"/>
          <w:sz w:val="32"/>
          <w:szCs w:val="32"/>
        </w:rPr>
      </w:pPr>
    </w:p>
    <w:sectPr w:rsidR="007C33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476B"/>
    <w:multiLevelType w:val="hybridMultilevel"/>
    <w:tmpl w:val="097EA9E6"/>
    <w:lvl w:ilvl="0" w:tplc="C9BE034E">
      <w:numFmt w:val="bullet"/>
      <w:lvlText w:val="•"/>
      <w:lvlJc w:val="left"/>
      <w:pPr>
        <w:ind w:left="1080" w:hanging="720"/>
      </w:pPr>
      <w:rPr>
        <w:rFonts w:ascii="Calibri" w:eastAsia="SimSu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8EA7D89"/>
    <w:multiLevelType w:val="hybridMultilevel"/>
    <w:tmpl w:val="55480D2E"/>
    <w:lvl w:ilvl="0" w:tplc="0C0A0001">
      <w:start w:val="1"/>
      <w:numFmt w:val="bullet"/>
      <w:lvlText w:val=""/>
      <w:lvlJc w:val="left"/>
      <w:pPr>
        <w:ind w:left="980" w:hanging="360"/>
      </w:pPr>
      <w:rPr>
        <w:rFonts w:ascii="Symbol" w:hAnsi="Symbol" w:cs="Symbol" w:hint="default"/>
      </w:rPr>
    </w:lvl>
    <w:lvl w:ilvl="1" w:tplc="0C0A0003" w:tentative="1">
      <w:start w:val="1"/>
      <w:numFmt w:val="bullet"/>
      <w:lvlText w:val="o"/>
      <w:lvlJc w:val="left"/>
      <w:pPr>
        <w:ind w:left="1700" w:hanging="360"/>
      </w:pPr>
      <w:rPr>
        <w:rFonts w:ascii="Courier New" w:hAnsi="Courier New" w:cs="Courier New" w:hint="default"/>
      </w:rPr>
    </w:lvl>
    <w:lvl w:ilvl="2" w:tplc="0C0A0005" w:tentative="1">
      <w:start w:val="1"/>
      <w:numFmt w:val="bullet"/>
      <w:lvlText w:val=""/>
      <w:lvlJc w:val="left"/>
      <w:pPr>
        <w:ind w:left="2420" w:hanging="360"/>
      </w:pPr>
      <w:rPr>
        <w:rFonts w:ascii="Wingdings" w:hAnsi="Wingdings" w:hint="default"/>
      </w:rPr>
    </w:lvl>
    <w:lvl w:ilvl="3" w:tplc="0C0A0001" w:tentative="1">
      <w:start w:val="1"/>
      <w:numFmt w:val="bullet"/>
      <w:lvlText w:val=""/>
      <w:lvlJc w:val="left"/>
      <w:pPr>
        <w:ind w:left="3140" w:hanging="360"/>
      </w:pPr>
      <w:rPr>
        <w:rFonts w:ascii="Symbol" w:hAnsi="Symbol" w:hint="default"/>
      </w:rPr>
    </w:lvl>
    <w:lvl w:ilvl="4" w:tplc="0C0A0003" w:tentative="1">
      <w:start w:val="1"/>
      <w:numFmt w:val="bullet"/>
      <w:lvlText w:val="o"/>
      <w:lvlJc w:val="left"/>
      <w:pPr>
        <w:ind w:left="3860" w:hanging="360"/>
      </w:pPr>
      <w:rPr>
        <w:rFonts w:ascii="Courier New" w:hAnsi="Courier New" w:cs="Courier New" w:hint="default"/>
      </w:rPr>
    </w:lvl>
    <w:lvl w:ilvl="5" w:tplc="0C0A0005" w:tentative="1">
      <w:start w:val="1"/>
      <w:numFmt w:val="bullet"/>
      <w:lvlText w:val=""/>
      <w:lvlJc w:val="left"/>
      <w:pPr>
        <w:ind w:left="4580" w:hanging="360"/>
      </w:pPr>
      <w:rPr>
        <w:rFonts w:ascii="Wingdings" w:hAnsi="Wingdings" w:hint="default"/>
      </w:rPr>
    </w:lvl>
    <w:lvl w:ilvl="6" w:tplc="0C0A0001" w:tentative="1">
      <w:start w:val="1"/>
      <w:numFmt w:val="bullet"/>
      <w:lvlText w:val=""/>
      <w:lvlJc w:val="left"/>
      <w:pPr>
        <w:ind w:left="5300" w:hanging="360"/>
      </w:pPr>
      <w:rPr>
        <w:rFonts w:ascii="Symbol" w:hAnsi="Symbol" w:hint="default"/>
      </w:rPr>
    </w:lvl>
    <w:lvl w:ilvl="7" w:tplc="0C0A0003" w:tentative="1">
      <w:start w:val="1"/>
      <w:numFmt w:val="bullet"/>
      <w:lvlText w:val="o"/>
      <w:lvlJc w:val="left"/>
      <w:pPr>
        <w:ind w:left="6020" w:hanging="360"/>
      </w:pPr>
      <w:rPr>
        <w:rFonts w:ascii="Courier New" w:hAnsi="Courier New" w:cs="Courier New" w:hint="default"/>
      </w:rPr>
    </w:lvl>
    <w:lvl w:ilvl="8" w:tplc="0C0A0005" w:tentative="1">
      <w:start w:val="1"/>
      <w:numFmt w:val="bullet"/>
      <w:lvlText w:val=""/>
      <w:lvlJc w:val="left"/>
      <w:pPr>
        <w:ind w:left="6740" w:hanging="360"/>
      </w:pPr>
      <w:rPr>
        <w:rFonts w:ascii="Wingdings" w:hAnsi="Wingdings" w:hint="default"/>
      </w:rPr>
    </w:lvl>
  </w:abstractNum>
  <w:abstractNum w:abstractNumId="2" w15:restartNumberingAfterBreak="0">
    <w:nsid w:val="6CC75702"/>
    <w:multiLevelType w:val="hybridMultilevel"/>
    <w:tmpl w:val="4FBC3268"/>
    <w:lvl w:ilvl="0" w:tplc="7E3AFA8C">
      <w:numFmt w:val="bullet"/>
      <w:lvlText w:val="-"/>
      <w:lvlJc w:val="left"/>
      <w:pPr>
        <w:ind w:left="1340" w:hanging="360"/>
      </w:pPr>
      <w:rPr>
        <w:rFonts w:ascii="Calibri" w:eastAsia="SimSun" w:hAnsi="Calibri" w:cs="Calibri" w:hint="default"/>
      </w:rPr>
    </w:lvl>
    <w:lvl w:ilvl="1" w:tplc="0C0A0003" w:tentative="1">
      <w:start w:val="1"/>
      <w:numFmt w:val="bullet"/>
      <w:lvlText w:val="o"/>
      <w:lvlJc w:val="left"/>
      <w:pPr>
        <w:ind w:left="2060" w:hanging="360"/>
      </w:pPr>
      <w:rPr>
        <w:rFonts w:ascii="Courier New" w:hAnsi="Courier New" w:cs="Courier New" w:hint="default"/>
      </w:rPr>
    </w:lvl>
    <w:lvl w:ilvl="2" w:tplc="0C0A0005" w:tentative="1">
      <w:start w:val="1"/>
      <w:numFmt w:val="bullet"/>
      <w:lvlText w:val=""/>
      <w:lvlJc w:val="left"/>
      <w:pPr>
        <w:ind w:left="2780" w:hanging="360"/>
      </w:pPr>
      <w:rPr>
        <w:rFonts w:ascii="Wingdings" w:hAnsi="Wingdings" w:cs="Wingdings" w:hint="default"/>
      </w:rPr>
    </w:lvl>
    <w:lvl w:ilvl="3" w:tplc="0C0A0001" w:tentative="1">
      <w:start w:val="1"/>
      <w:numFmt w:val="bullet"/>
      <w:lvlText w:val=""/>
      <w:lvlJc w:val="left"/>
      <w:pPr>
        <w:ind w:left="3500" w:hanging="360"/>
      </w:pPr>
      <w:rPr>
        <w:rFonts w:ascii="Symbol" w:hAnsi="Symbol" w:cs="Symbol" w:hint="default"/>
      </w:rPr>
    </w:lvl>
    <w:lvl w:ilvl="4" w:tplc="0C0A0003" w:tentative="1">
      <w:start w:val="1"/>
      <w:numFmt w:val="bullet"/>
      <w:lvlText w:val="o"/>
      <w:lvlJc w:val="left"/>
      <w:pPr>
        <w:ind w:left="4220" w:hanging="360"/>
      </w:pPr>
      <w:rPr>
        <w:rFonts w:ascii="Courier New" w:hAnsi="Courier New" w:cs="Courier New" w:hint="default"/>
      </w:rPr>
    </w:lvl>
    <w:lvl w:ilvl="5" w:tplc="0C0A0005" w:tentative="1">
      <w:start w:val="1"/>
      <w:numFmt w:val="bullet"/>
      <w:lvlText w:val=""/>
      <w:lvlJc w:val="left"/>
      <w:pPr>
        <w:ind w:left="4940" w:hanging="360"/>
      </w:pPr>
      <w:rPr>
        <w:rFonts w:ascii="Wingdings" w:hAnsi="Wingdings" w:cs="Wingdings" w:hint="default"/>
      </w:rPr>
    </w:lvl>
    <w:lvl w:ilvl="6" w:tplc="0C0A0001" w:tentative="1">
      <w:start w:val="1"/>
      <w:numFmt w:val="bullet"/>
      <w:lvlText w:val=""/>
      <w:lvlJc w:val="left"/>
      <w:pPr>
        <w:ind w:left="5660" w:hanging="360"/>
      </w:pPr>
      <w:rPr>
        <w:rFonts w:ascii="Symbol" w:hAnsi="Symbol" w:cs="Symbol" w:hint="default"/>
      </w:rPr>
    </w:lvl>
    <w:lvl w:ilvl="7" w:tplc="0C0A0003" w:tentative="1">
      <w:start w:val="1"/>
      <w:numFmt w:val="bullet"/>
      <w:lvlText w:val="o"/>
      <w:lvlJc w:val="left"/>
      <w:pPr>
        <w:ind w:left="6380" w:hanging="360"/>
      </w:pPr>
      <w:rPr>
        <w:rFonts w:ascii="Courier New" w:hAnsi="Courier New" w:cs="Courier New" w:hint="default"/>
      </w:rPr>
    </w:lvl>
    <w:lvl w:ilvl="8" w:tplc="0C0A0005" w:tentative="1">
      <w:start w:val="1"/>
      <w:numFmt w:val="bullet"/>
      <w:lvlText w:val=""/>
      <w:lvlJc w:val="left"/>
      <w:pPr>
        <w:ind w:left="710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D2"/>
    <w:rsid w:val="00152E5F"/>
    <w:rsid w:val="00214ED1"/>
    <w:rsid w:val="00301EEE"/>
    <w:rsid w:val="00500771"/>
    <w:rsid w:val="005250A3"/>
    <w:rsid w:val="00600732"/>
    <w:rsid w:val="006E2F77"/>
    <w:rsid w:val="00770C1A"/>
    <w:rsid w:val="00787949"/>
    <w:rsid w:val="007C33CC"/>
    <w:rsid w:val="008961D2"/>
    <w:rsid w:val="009174A6"/>
    <w:rsid w:val="00B33EDE"/>
    <w:rsid w:val="00B85284"/>
    <w:rsid w:val="00D51696"/>
    <w:rsid w:val="00DB7C98"/>
    <w:rsid w:val="00E33DA3"/>
    <w:rsid w:val="00E47C4E"/>
    <w:rsid w:val="00FF18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31B0"/>
  <w15:chartTrackingRefBased/>
  <w15:docId w15:val="{68B5FA85-D258-4C3F-9858-DFE33F42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C98"/>
    <w:rPr>
      <w:noProof/>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8961D2"/>
    <w:pPr>
      <w:spacing w:after="0" w:line="240" w:lineRule="auto"/>
    </w:pPr>
    <w:rPr>
      <w:rFonts w:ascii="Calibri" w:eastAsia="Times New Roman" w:hAnsi="Calibri" w:cs="Calibri"/>
      <w:noProof w:val="0"/>
      <w:sz w:val="24"/>
      <w:szCs w:val="24"/>
      <w:lang w:val="es-ES" w:eastAsia="es-ES"/>
    </w:rPr>
  </w:style>
  <w:style w:type="character" w:customStyle="1" w:styleId="TextoindependienteCar">
    <w:name w:val="Texto independiente Car"/>
    <w:basedOn w:val="Fuentedeprrafopredeter"/>
    <w:link w:val="Textoindependiente"/>
    <w:uiPriority w:val="1"/>
    <w:rsid w:val="008961D2"/>
    <w:rPr>
      <w:rFonts w:ascii="Calibri" w:eastAsia="Times New Roman" w:hAnsi="Calibri" w:cs="Calibri"/>
      <w:sz w:val="24"/>
      <w:szCs w:val="24"/>
      <w:lang w:eastAsia="es-ES"/>
    </w:rPr>
  </w:style>
  <w:style w:type="paragraph" w:styleId="Prrafodelista">
    <w:name w:val="List Paragraph"/>
    <w:basedOn w:val="Normal"/>
    <w:uiPriority w:val="34"/>
    <w:qFormat/>
    <w:rsid w:val="008961D2"/>
    <w:pPr>
      <w:spacing w:after="0" w:line="240" w:lineRule="auto"/>
    </w:pPr>
    <w:rPr>
      <w:rFonts w:ascii="Times New Roman" w:eastAsia="Times New Roman" w:hAnsi="Times New Roman" w:cs="Times New Roman"/>
      <w:noProof w:val="0"/>
      <w:sz w:val="24"/>
      <w:szCs w:val="24"/>
      <w:lang w:val="es-ES" w:eastAsia="es-ES"/>
    </w:rPr>
  </w:style>
  <w:style w:type="paragraph" w:customStyle="1" w:styleId="Standard">
    <w:name w:val="Standard"/>
    <w:rsid w:val="005250A3"/>
    <w:pPr>
      <w:widowControl w:val="0"/>
      <w:suppressAutoHyphens/>
      <w:autoSpaceDN w:val="0"/>
      <w:spacing w:after="0" w:line="240" w:lineRule="auto"/>
      <w:textAlignment w:val="baseline"/>
    </w:pPr>
    <w:rPr>
      <w:rFonts w:ascii="Times New Roman" w:eastAsia="SimSun" w:hAnsi="Times New Roman" w:cs="Lucida Sans"/>
      <w:kern w:val="3"/>
      <w:sz w:val="24"/>
      <w:szCs w:val="24"/>
      <w:lang w:val="gl-ES" w:eastAsia="zh-CN" w:bidi="hi-IN"/>
    </w:rPr>
  </w:style>
  <w:style w:type="character" w:styleId="Textoennegrita">
    <w:name w:val="Strong"/>
    <w:basedOn w:val="Fuentedeprrafopredeter"/>
    <w:uiPriority w:val="22"/>
    <w:qFormat/>
    <w:rsid w:val="00D51696"/>
    <w:rPr>
      <w:b/>
      <w:bCs/>
    </w:rPr>
  </w:style>
  <w:style w:type="character" w:styleId="Hipervnculo">
    <w:name w:val="Hyperlink"/>
    <w:basedOn w:val="Fuentedeprrafopredeter"/>
    <w:uiPriority w:val="99"/>
    <w:semiHidden/>
    <w:unhideWhenUsed/>
    <w:rsid w:val="00214ED1"/>
    <w:rPr>
      <w:color w:val="0000FF"/>
      <w:u w:val="single"/>
    </w:rPr>
  </w:style>
  <w:style w:type="paragraph" w:styleId="NormalWeb">
    <w:name w:val="Normal (Web)"/>
    <w:basedOn w:val="Normal"/>
    <w:uiPriority w:val="99"/>
    <w:unhideWhenUsed/>
    <w:rsid w:val="00DB7C98"/>
    <w:pPr>
      <w:spacing w:before="100" w:beforeAutospacing="1" w:after="100" w:afterAutospacing="1" w:line="240" w:lineRule="auto"/>
    </w:pPr>
    <w:rPr>
      <w:rFonts w:ascii="Times New Roman" w:eastAsia="Times New Roman" w:hAnsi="Times New Roman" w:cs="Times New Roman"/>
      <w:noProof w:val="0"/>
      <w:sz w:val="24"/>
      <w:szCs w:val="24"/>
      <w:lang w:val="es-ES" w:eastAsia="es-ES"/>
    </w:rPr>
  </w:style>
  <w:style w:type="character" w:styleId="nfasis">
    <w:name w:val="Emphasis"/>
    <w:basedOn w:val="Fuentedeprrafopredeter"/>
    <w:uiPriority w:val="20"/>
    <w:qFormat/>
    <w:rsid w:val="007C33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4303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Colexio Oficial de Traballo Social de Galicia COTSG</dc:creator>
  <cp:keywords/>
  <dc:description/>
  <cp:lastModifiedBy>Colexio Oficial de Traballo Social de Galicia COTSG</cp:lastModifiedBy>
  <cp:revision>2</cp:revision>
  <dcterms:created xsi:type="dcterms:W3CDTF">2021-05-10T09:04:00Z</dcterms:created>
  <dcterms:modified xsi:type="dcterms:W3CDTF">2021-05-10T09:04:00Z</dcterms:modified>
</cp:coreProperties>
</file>