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ind w:left="39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28344" cy="1019555"/>
            <wp:effectExtent l="0" t="0" r="0" b="0"/>
            <wp:docPr id="1" name="image1.jpeg" descr="P1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44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Title"/>
      </w:pPr>
      <w:r>
        <w:rPr>
          <w:color w:val="212121"/>
        </w:rPr>
        <w:t>O</w:t>
      </w:r>
      <w:r>
        <w:rPr>
          <w:color w:val="212121"/>
          <w:spacing w:val="11"/>
        </w:rPr>
        <w:t> </w:t>
      </w:r>
      <w:r>
        <w:rPr>
          <w:color w:val="212121"/>
        </w:rPr>
        <w:t>Colexio</w:t>
      </w:r>
      <w:r>
        <w:rPr>
          <w:color w:val="212121"/>
          <w:spacing w:val="12"/>
        </w:rPr>
        <w:t> </w:t>
      </w:r>
      <w:r>
        <w:rPr>
          <w:color w:val="212121"/>
        </w:rPr>
        <w:t>Oficial</w:t>
      </w:r>
      <w:r>
        <w:rPr>
          <w:color w:val="212121"/>
          <w:spacing w:val="10"/>
        </w:rPr>
        <w:t> </w:t>
      </w:r>
      <w:r>
        <w:rPr>
          <w:color w:val="212121"/>
        </w:rPr>
        <w:t>de</w:t>
      </w:r>
      <w:r>
        <w:rPr>
          <w:color w:val="212121"/>
          <w:spacing w:val="11"/>
        </w:rPr>
        <w:t> </w:t>
      </w:r>
      <w:r>
        <w:rPr>
          <w:color w:val="212121"/>
        </w:rPr>
        <w:t>Traballo</w:t>
      </w:r>
      <w:r>
        <w:rPr>
          <w:color w:val="212121"/>
          <w:spacing w:val="12"/>
        </w:rPr>
        <w:t> </w:t>
      </w:r>
      <w:r>
        <w:rPr>
          <w:color w:val="212121"/>
        </w:rPr>
        <w:t>Social</w:t>
      </w:r>
      <w:r>
        <w:rPr>
          <w:color w:val="212121"/>
          <w:spacing w:val="12"/>
        </w:rPr>
        <w:t> </w:t>
      </w:r>
      <w:r>
        <w:rPr>
          <w:color w:val="212121"/>
        </w:rPr>
        <w:t>insta</w:t>
      </w:r>
      <w:r>
        <w:rPr>
          <w:color w:val="212121"/>
          <w:spacing w:val="12"/>
        </w:rPr>
        <w:t> </w:t>
      </w:r>
      <w:r>
        <w:rPr>
          <w:color w:val="212121"/>
        </w:rPr>
        <w:t>á</w:t>
      </w:r>
      <w:r>
        <w:rPr>
          <w:color w:val="212121"/>
          <w:spacing w:val="12"/>
        </w:rPr>
        <w:t> </w:t>
      </w:r>
      <w:r>
        <w:rPr>
          <w:color w:val="212121"/>
        </w:rPr>
        <w:t>Xunta</w:t>
      </w:r>
      <w:r>
        <w:rPr>
          <w:color w:val="212121"/>
          <w:spacing w:val="14"/>
        </w:rPr>
        <w:t> </w:t>
      </w:r>
      <w:r>
        <w:rPr>
          <w:color w:val="212121"/>
        </w:rPr>
        <w:t>a</w:t>
      </w:r>
      <w:r>
        <w:rPr>
          <w:color w:val="212121"/>
          <w:spacing w:val="12"/>
        </w:rPr>
        <w:t> </w:t>
      </w:r>
      <w:r>
        <w:rPr>
          <w:color w:val="212121"/>
        </w:rPr>
        <w:t>apostar</w:t>
      </w:r>
      <w:r>
        <w:rPr>
          <w:color w:val="212121"/>
          <w:spacing w:val="10"/>
        </w:rPr>
        <w:t> </w:t>
      </w:r>
      <w:r>
        <w:rPr>
          <w:color w:val="212121"/>
        </w:rPr>
        <w:t>pola</w:t>
      </w:r>
      <w:r>
        <w:rPr>
          <w:color w:val="212121"/>
          <w:spacing w:val="10"/>
        </w:rPr>
        <w:t> </w:t>
      </w:r>
      <w:r>
        <w:rPr>
          <w:color w:val="212121"/>
        </w:rPr>
        <w:t>vía</w:t>
      </w:r>
      <w:r>
        <w:rPr>
          <w:color w:val="212121"/>
          <w:spacing w:val="12"/>
        </w:rPr>
        <w:t> </w:t>
      </w:r>
      <w:r>
        <w:rPr>
          <w:color w:val="212121"/>
        </w:rPr>
        <w:t>dos</w:t>
      </w:r>
      <w:r>
        <w:rPr>
          <w:color w:val="212121"/>
          <w:spacing w:val="-70"/>
        </w:rPr>
        <w:t> </w:t>
      </w:r>
      <w:r>
        <w:rPr>
          <w:color w:val="212121"/>
        </w:rPr>
        <w:t>servizos</w:t>
      </w:r>
      <w:r>
        <w:rPr>
          <w:color w:val="212121"/>
          <w:spacing w:val="-2"/>
        </w:rPr>
        <w:t> </w:t>
      </w:r>
      <w:r>
        <w:rPr>
          <w:color w:val="212121"/>
        </w:rPr>
        <w:t>públicos</w:t>
      </w:r>
      <w:r>
        <w:rPr>
          <w:color w:val="212121"/>
          <w:spacing w:val="1"/>
        </w:rPr>
        <w:t> </w:t>
      </w:r>
      <w:r>
        <w:rPr>
          <w:color w:val="212121"/>
        </w:rPr>
        <w:t>para o</w:t>
      </w:r>
      <w:r>
        <w:rPr>
          <w:color w:val="212121"/>
          <w:spacing w:val="1"/>
        </w:rPr>
        <w:t> </w:t>
      </w:r>
      <w:r>
        <w:rPr>
          <w:color w:val="212121"/>
        </w:rPr>
        <w:t>SAAD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0" w:right="116" w:hanging="361"/>
        <w:jc w:val="left"/>
      </w:pPr>
      <w:r>
        <w:rPr/>
        <w:t>O</w:t>
      </w:r>
      <w:r>
        <w:rPr>
          <w:spacing w:val="40"/>
        </w:rPr>
        <w:t> </w:t>
      </w:r>
      <w:r>
        <w:rPr/>
        <w:t>Colexio</w:t>
      </w:r>
      <w:r>
        <w:rPr>
          <w:spacing w:val="41"/>
        </w:rPr>
        <w:t> </w:t>
      </w:r>
      <w:r>
        <w:rPr/>
        <w:t>reclama</w:t>
      </w:r>
      <w:r>
        <w:rPr>
          <w:spacing w:val="39"/>
        </w:rPr>
        <w:t> </w:t>
      </w:r>
      <w:r>
        <w:rPr/>
        <w:t>que</w:t>
      </w:r>
      <w:r>
        <w:rPr>
          <w:spacing w:val="36"/>
        </w:rPr>
        <w:t> </w:t>
      </w:r>
      <w:r>
        <w:rPr/>
        <w:t>os</w:t>
      </w:r>
      <w:r>
        <w:rPr>
          <w:spacing w:val="37"/>
        </w:rPr>
        <w:t> </w:t>
      </w:r>
      <w:r>
        <w:rPr/>
        <w:t>600</w:t>
      </w:r>
      <w:r>
        <w:rPr>
          <w:spacing w:val="41"/>
        </w:rPr>
        <w:t> </w:t>
      </w:r>
      <w:r>
        <w:rPr/>
        <w:t>millóns</w:t>
      </w:r>
      <w:r>
        <w:rPr>
          <w:spacing w:val="37"/>
        </w:rPr>
        <w:t> </w:t>
      </w:r>
      <w:r>
        <w:rPr/>
        <w:t>de</w:t>
      </w:r>
      <w:r>
        <w:rPr>
          <w:spacing w:val="39"/>
        </w:rPr>
        <w:t> </w:t>
      </w:r>
      <w:r>
        <w:rPr/>
        <w:t>euros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orzamento</w:t>
      </w:r>
      <w:r>
        <w:rPr>
          <w:spacing w:val="41"/>
        </w:rPr>
        <w:t> </w:t>
      </w:r>
      <w:r>
        <w:rPr/>
        <w:t>que</w:t>
      </w:r>
      <w:r>
        <w:rPr>
          <w:spacing w:val="36"/>
        </w:rPr>
        <w:t> </w:t>
      </w:r>
      <w:r>
        <w:rPr/>
        <w:t>manexará</w:t>
      </w:r>
      <w:r>
        <w:rPr>
          <w:spacing w:val="39"/>
        </w:rPr>
        <w:t> </w:t>
      </w:r>
      <w:r>
        <w:rPr/>
        <w:t>o</w:t>
      </w:r>
      <w:r>
        <w:rPr>
          <w:spacing w:val="41"/>
        </w:rPr>
        <w:t> </w:t>
      </w:r>
      <w:r>
        <w:rPr/>
        <w:t>Consello</w:t>
      </w:r>
      <w:r>
        <w:rPr>
          <w:spacing w:val="38"/>
        </w:rPr>
        <w:t> </w:t>
      </w:r>
      <w:r>
        <w:rPr/>
        <w:t>Territorial</w:t>
      </w:r>
      <w:r>
        <w:rPr>
          <w:spacing w:val="39"/>
        </w:rPr>
        <w:t> </w:t>
      </w:r>
      <w:r>
        <w:rPr/>
        <w:t>de</w:t>
      </w:r>
      <w:r>
        <w:rPr>
          <w:spacing w:val="1"/>
        </w:rPr>
        <w:t> </w:t>
      </w:r>
      <w:r>
        <w:rPr/>
        <w:t>Servizos</w:t>
      </w:r>
      <w:r>
        <w:rPr>
          <w:spacing w:val="-1"/>
        </w:rPr>
        <w:t> </w:t>
      </w:r>
      <w:r>
        <w:rPr/>
        <w:t>Sociais sirvan</w:t>
      </w:r>
      <w:r>
        <w:rPr>
          <w:spacing w:val="-1"/>
        </w:rPr>
        <w:t> </w:t>
      </w:r>
      <w:r>
        <w:rPr/>
        <w:t>para desenvolver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público flexible e</w:t>
      </w:r>
      <w:r>
        <w:rPr>
          <w:spacing w:val="-3"/>
        </w:rPr>
        <w:t> </w:t>
      </w:r>
      <w:r>
        <w:rPr/>
        <w:t>áxil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" w:after="0"/>
        <w:ind w:left="821" w:right="0" w:hanging="361"/>
        <w:jc w:val="left"/>
        <w:rPr>
          <w:b/>
          <w:i/>
          <w:sz w:val="22"/>
        </w:rPr>
      </w:pPr>
      <w:r>
        <w:rPr>
          <w:b/>
          <w:i/>
          <w:sz w:val="22"/>
        </w:rPr>
        <w:t>Esixen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á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Xunta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non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volver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á vía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da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privatización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76" w:lineRule="auto" w:before="39" w:after="0"/>
        <w:ind w:left="821" w:right="113" w:hanging="361"/>
        <w:jc w:val="left"/>
      </w:pPr>
      <w:r>
        <w:rPr/>
        <w:t>O</w:t>
      </w:r>
      <w:r>
        <w:rPr>
          <w:spacing w:val="12"/>
        </w:rPr>
        <w:t> </w:t>
      </w:r>
      <w:r>
        <w:rPr/>
        <w:t>COTSG</w:t>
      </w:r>
      <w:r>
        <w:rPr>
          <w:spacing w:val="10"/>
        </w:rPr>
        <w:t> </w:t>
      </w:r>
      <w:r>
        <w:rPr/>
        <w:t>considera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urxe</w:t>
      </w:r>
      <w:r>
        <w:rPr>
          <w:spacing w:val="11"/>
        </w:rPr>
        <w:t> </w:t>
      </w:r>
      <w:r>
        <w:rPr/>
        <w:t>dotar</w:t>
      </w:r>
      <w:r>
        <w:rPr>
          <w:spacing w:val="10"/>
        </w:rPr>
        <w:t> </w:t>
      </w:r>
      <w:r>
        <w:rPr/>
        <w:t>aos</w:t>
      </w:r>
      <w:r>
        <w:rPr>
          <w:spacing w:val="11"/>
        </w:rPr>
        <w:t> </w:t>
      </w:r>
      <w:r>
        <w:rPr/>
        <w:t>Servizos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Dependencia</w:t>
      </w:r>
      <w:r>
        <w:rPr>
          <w:spacing w:val="12"/>
        </w:rPr>
        <w:t> </w:t>
      </w:r>
      <w:r>
        <w:rPr/>
        <w:t>Provinciais</w:t>
      </w:r>
      <w:r>
        <w:rPr>
          <w:spacing w:val="8"/>
        </w:rPr>
        <w:t> </w:t>
      </w:r>
      <w:r>
        <w:rPr/>
        <w:t>dun</w:t>
      </w:r>
      <w:r>
        <w:rPr>
          <w:spacing w:val="12"/>
        </w:rPr>
        <w:t> </w:t>
      </w:r>
      <w:r>
        <w:rPr/>
        <w:t>maior</w:t>
      </w:r>
      <w:r>
        <w:rPr>
          <w:spacing w:val="10"/>
        </w:rPr>
        <w:t> </w:t>
      </w:r>
      <w:r>
        <w:rPr/>
        <w:t>número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persoal</w:t>
      </w:r>
      <w:r>
        <w:rPr>
          <w:spacing w:val="-46"/>
        </w:rPr>
        <w:t> </w:t>
      </w:r>
      <w:r>
        <w:rPr/>
        <w:t>técnico e</w:t>
      </w:r>
      <w:r>
        <w:rPr>
          <w:spacing w:val="-3"/>
        </w:rPr>
        <w:t> </w:t>
      </w:r>
      <w:r>
        <w:rPr/>
        <w:t>administrativo</w:t>
      </w:r>
    </w:p>
    <w:p>
      <w:pPr>
        <w:pStyle w:val="BodyText"/>
        <w:rPr>
          <w:b/>
          <w:i/>
        </w:rPr>
      </w:pPr>
    </w:p>
    <w:p>
      <w:pPr>
        <w:pStyle w:val="BodyText"/>
        <w:spacing w:before="5"/>
        <w:rPr>
          <w:b/>
          <w:i/>
          <w:sz w:val="16"/>
        </w:rPr>
      </w:pPr>
    </w:p>
    <w:p>
      <w:pPr>
        <w:pStyle w:val="BodyText"/>
        <w:ind w:left="101" w:right="184"/>
      </w:pPr>
      <w:r>
        <w:rPr/>
        <w:t>Ante a aprobación no Consello Territorial de Servizos Sociais do Plan de Choque en Dependencia 2021-2023, o</w:t>
      </w:r>
      <w:r>
        <w:rPr>
          <w:spacing w:val="1"/>
        </w:rPr>
        <w:t> </w:t>
      </w:r>
      <w:r>
        <w:rPr/>
        <w:t>Colexio Oficial de Traballo Social de Galicia considera que é fundamental que o orzamento previsto se invista para o</w:t>
      </w:r>
      <w:r>
        <w:rPr>
          <w:spacing w:val="1"/>
        </w:rPr>
        <w:t> </w:t>
      </w:r>
      <w:r>
        <w:rPr/>
        <w:t>desenvolvemento dun sistema público flexible e áxil. Esta achega do Ministerio de Dereitos Sociais para a mellora do</w:t>
      </w:r>
      <w:r>
        <w:rPr>
          <w:spacing w:val="-47"/>
        </w:rPr>
        <w:t> </w:t>
      </w:r>
      <w:r>
        <w:rPr/>
        <w:t>SAAD chega aos</w:t>
      </w:r>
      <w:r>
        <w:rPr>
          <w:spacing w:val="-2"/>
        </w:rPr>
        <w:t> </w:t>
      </w:r>
      <w:r>
        <w:rPr/>
        <w:t>600</w:t>
      </w:r>
      <w:r>
        <w:rPr>
          <w:spacing w:val="-1"/>
        </w:rPr>
        <w:t> </w:t>
      </w:r>
      <w:r>
        <w:rPr/>
        <w:t>millóns de</w:t>
      </w:r>
      <w:r>
        <w:rPr>
          <w:spacing w:val="1"/>
        </w:rPr>
        <w:t> </w:t>
      </w:r>
      <w:r>
        <w:rPr/>
        <w:t>euros.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42"/>
      </w:pPr>
      <w:r>
        <w:rPr/>
        <w:t>O COTSG lembra que hoxe en día a grande parte dos concellos galegos contratan os seus servizos de Axuda no Fogar</w:t>
      </w:r>
      <w:r>
        <w:rPr>
          <w:spacing w:val="1"/>
        </w:rPr>
        <w:t> </w:t>
      </w:r>
      <w:r>
        <w:rPr/>
        <w:t>con empresas privadas e con concertos en residencias de maiores. É necesario, para o Colexio, que a Xunta aproveite</w:t>
      </w:r>
      <w:r>
        <w:rPr>
          <w:spacing w:val="-47"/>
        </w:rPr>
        <w:t> </w:t>
      </w:r>
      <w:r>
        <w:rPr/>
        <w:t>este Plan de Choque para apostar por un modelo público e dinamizador da xestión, estruturas, redes e</w:t>
      </w:r>
      <w:r>
        <w:rPr>
          <w:spacing w:val="1"/>
        </w:rPr>
        <w:t> </w:t>
      </w:r>
      <w:r>
        <w:rPr/>
        <w:t>procedementos establecidos nos servizos e prestacións do sistema de dependencia. Ese é o sentido da reivindicación</w:t>
      </w:r>
      <w:r>
        <w:rPr>
          <w:spacing w:val="-47"/>
        </w:rPr>
        <w:t> </w:t>
      </w:r>
      <w:r>
        <w:rPr/>
        <w:t>que fai á Xunta de Galicia, á que esixe non retomar vellas estratexias -pola vía das privatizacións- que nin garanten</w:t>
      </w:r>
      <w:r>
        <w:rPr>
          <w:spacing w:val="1"/>
        </w:rPr>
        <w:t> </w:t>
      </w:r>
      <w:r>
        <w:rPr/>
        <w:t>nin aseguran calidade de vida para as persoas dependentes nin condicións laborais adecuadas para o persoal do</w:t>
      </w:r>
      <w:r>
        <w:rPr>
          <w:spacing w:val="1"/>
        </w:rPr>
        <w:t> </w:t>
      </w:r>
      <w:r>
        <w:rPr/>
        <w:t>SAAD.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303"/>
      </w:pPr>
      <w:r>
        <w:rPr/>
        <w:t>Ademais, o COTSG considera que urxe dotar aos Servizos de Dependencia Provinciais dun maior número de persoal</w:t>
      </w:r>
      <w:r>
        <w:rPr>
          <w:spacing w:val="-47"/>
        </w:rPr>
        <w:t> </w:t>
      </w:r>
      <w:r>
        <w:rPr/>
        <w:t>técnico e administrativo. O obxectivo desta medida é reducir os prazos de tramitación, que acumulan reclamacións</w:t>
      </w:r>
      <w:r>
        <w:rPr>
          <w:spacing w:val="-47"/>
        </w:rPr>
        <w:t> </w:t>
      </w:r>
      <w:r>
        <w:rPr/>
        <w:t>constantes da cidadanía. A Comunidade Autónoma acumula un déficit de efectivos que fai que se incumpran</w:t>
      </w:r>
      <w:r>
        <w:rPr>
          <w:spacing w:val="1"/>
        </w:rPr>
        <w:t> </w:t>
      </w:r>
      <w:r>
        <w:rPr/>
        <w:t>sistematicamente</w:t>
      </w:r>
      <w:r>
        <w:rPr>
          <w:spacing w:val="-3"/>
        </w:rPr>
        <w:t> </w:t>
      </w:r>
      <w:r>
        <w:rPr/>
        <w:t>os prazos legais de</w:t>
      </w:r>
      <w:r>
        <w:rPr>
          <w:spacing w:val="-2"/>
        </w:rPr>
        <w:t> </w:t>
      </w:r>
      <w:r>
        <w:rPr/>
        <w:t>resolución</w:t>
      </w:r>
    </w:p>
    <w:p>
      <w:pPr>
        <w:pStyle w:val="BodyText"/>
        <w:spacing w:before="1"/>
      </w:pPr>
    </w:p>
    <w:p>
      <w:pPr>
        <w:pStyle w:val="BodyText"/>
        <w:ind w:left="100" w:right="184"/>
      </w:pPr>
      <w:r>
        <w:rPr/>
        <w:t>O Colexio pide tamén reforzar as dotacións municipais para crear unha rede estable</w:t>
      </w:r>
      <w:r>
        <w:rPr>
          <w:spacing w:val="1"/>
        </w:rPr>
        <w:t> </w:t>
      </w:r>
      <w:r>
        <w:rPr/>
        <w:t>de servizos sociais comunitarios</w:t>
      </w:r>
      <w:r>
        <w:rPr>
          <w:spacing w:val="-47"/>
        </w:rPr>
        <w:t> </w:t>
      </w:r>
      <w:r>
        <w:rPr/>
        <w:t>específicos coa finalidade de desenvolver programas de prevención e detección precoz, así como de</w:t>
      </w:r>
      <w:r>
        <w:rPr>
          <w:spacing w:val="1"/>
        </w:rPr>
        <w:t> </w:t>
      </w:r>
      <w:r>
        <w:rPr/>
        <w:t>acompañamento para as</w:t>
      </w:r>
      <w:r>
        <w:rPr>
          <w:spacing w:val="-2"/>
        </w:rPr>
        <w:t> </w:t>
      </w:r>
      <w:r>
        <w:rPr/>
        <w:t>persoas</w:t>
      </w:r>
      <w:r>
        <w:rPr>
          <w:spacing w:val="-3"/>
        </w:rPr>
        <w:t> </w:t>
      </w:r>
      <w:r>
        <w:rPr/>
        <w:t>dependentes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vulnerabilidade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233"/>
      </w:pPr>
      <w:r>
        <w:rPr/>
        <w:t>Para finalizar, este colexio profesional insta a poñer no centro das políticas sociais aos coidados, xerando estratexias</w:t>
      </w:r>
      <w:r>
        <w:rPr>
          <w:spacing w:val="-47"/>
        </w:rPr>
        <w:t> </w:t>
      </w:r>
      <w:r>
        <w:rPr/>
        <w:t>de intervención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engloben</w:t>
      </w:r>
      <w:r>
        <w:rPr>
          <w:spacing w:val="-2"/>
        </w:rPr>
        <w:t> </w:t>
      </w:r>
      <w:r>
        <w:rPr/>
        <w:t>todos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eidos: social,</w:t>
      </w:r>
      <w:r>
        <w:rPr>
          <w:spacing w:val="-2"/>
        </w:rPr>
        <w:t> </w:t>
      </w:r>
      <w:r>
        <w:rPr/>
        <w:t>laboral,</w:t>
      </w:r>
      <w:r>
        <w:rPr>
          <w:spacing w:val="-1"/>
        </w:rPr>
        <w:t> </w:t>
      </w:r>
      <w:r>
        <w:rPr/>
        <w:t>urbanístico,</w:t>
      </w:r>
      <w:r>
        <w:rPr>
          <w:spacing w:val="-3"/>
        </w:rPr>
        <w:t> </w:t>
      </w:r>
      <w:r>
        <w:rPr/>
        <w:t>económico</w:t>
      </w:r>
      <w:r>
        <w:rPr>
          <w:spacing w:val="-1"/>
        </w:rPr>
        <w:t> </w:t>
      </w:r>
      <w:r>
        <w:rPr/>
        <w:t>e ambiental.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00"/>
      </w:pPr>
      <w:r>
        <w:rPr/>
        <w:t>+INFO</w:t>
      </w:r>
      <w:r>
        <w:rPr>
          <w:spacing w:val="-2"/>
        </w:rPr>
        <w:t> </w:t>
      </w:r>
      <w:r>
        <w:rPr/>
        <w:t>GABINETE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COMUNICACIÓN</w:t>
      </w:r>
      <w:r>
        <w:rPr>
          <w:spacing w:val="-3"/>
        </w:rPr>
        <w:t> </w:t>
      </w:r>
      <w:r>
        <w:rPr/>
        <w:t>606</w:t>
      </w:r>
      <w:r>
        <w:rPr>
          <w:spacing w:val="-3"/>
        </w:rPr>
        <w:t> </w:t>
      </w:r>
      <w:r>
        <w:rPr/>
        <w:t>825</w:t>
      </w:r>
      <w:r>
        <w:rPr>
          <w:spacing w:val="-2"/>
        </w:rPr>
        <w:t> </w:t>
      </w:r>
      <w:r>
        <w:rPr/>
        <w:t>166</w:t>
      </w:r>
    </w:p>
    <w:p>
      <w:pPr>
        <w:spacing w:after="0"/>
        <w:sectPr>
          <w:footerReference w:type="default" r:id="rId5"/>
          <w:type w:val="continuous"/>
          <w:pgSz w:w="11920" w:h="16850"/>
          <w:pgMar w:footer="759" w:top="1600" w:bottom="940" w:left="720" w:right="480"/>
          <w:pgNumType w:start="1"/>
        </w:sectPr>
      </w:pPr>
    </w:p>
    <w:p>
      <w:pPr>
        <w:pStyle w:val="BodyText"/>
        <w:spacing w:before="4"/>
        <w:rPr>
          <w:sz w:val="16"/>
        </w:rPr>
      </w:pPr>
    </w:p>
    <w:sectPr>
      <w:pgSz w:w="11920" w:h="16850"/>
      <w:pgMar w:header="0" w:footer="759" w:top="1600" w:bottom="940" w:left="7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920013pt;margin-top:789.079956pt;width:11.85pt;height:12.6pt;mso-position-horizontal-relative:page;mso-position-vertical-relative:page;z-index:-15762432" type="#_x0000_t202" filled="false" stroked="false">
          <v:textbox inset="0,0,0,0">
            <w:txbxContent>
              <w:p>
                <w:pPr>
                  <w:spacing w:line="235" w:lineRule="exact" w:before="0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10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9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9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5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54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43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2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1" w:hanging="361"/>
      <w:outlineLvl w:val="1"/>
    </w:pPr>
    <w:rPr>
      <w:rFonts w:ascii="Calibri" w:hAnsi="Calibri" w:eastAsia="Calibri" w:cs="Calibri"/>
      <w:b/>
      <w:bCs/>
      <w:i/>
      <w:i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100" w:right="184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dcterms:created xsi:type="dcterms:W3CDTF">2021-04-15T17:55:04Z</dcterms:created>
  <dcterms:modified xsi:type="dcterms:W3CDTF">2021-04-15T17:55:04Z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2021-04-15T00:00:00Z</vt:filetime>
  </property>
</Properties>
</file>